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1DCD6" w14:textId="2F715AD4" w:rsidR="00B60327" w:rsidRDefault="008D7A98">
      <w:r>
        <w:t xml:space="preserve">                                                                                   Discussions Week 4 </w:t>
      </w:r>
    </w:p>
    <w:p w14:paraId="2AB63881" w14:textId="672E49CB" w:rsidR="008D7A98" w:rsidRDefault="008D7A98">
      <w:r>
        <w:t xml:space="preserve">Topic 1: </w:t>
      </w:r>
      <w:r w:rsidRPr="008D7A98">
        <w:t>Economically, why does the growth rate of cash flows have to be less than the discount rate?</w:t>
      </w:r>
    </w:p>
    <w:p w14:paraId="75D1EDA6" w14:textId="1196F1A5" w:rsidR="008D7A98" w:rsidRDefault="008D7A98"/>
    <w:p w14:paraId="66C0EFA0" w14:textId="7316ACF5" w:rsidR="008D7A98" w:rsidRDefault="008D7A98">
      <w:r>
        <w:t xml:space="preserve">Topic 2: </w:t>
      </w:r>
      <w:r w:rsidRPr="008D7A98">
        <w:t>What is the prevailing interest rate if a perpetual bond were to pay $100,000 per year beginning next year and costs $1,000,000 today?</w:t>
      </w:r>
    </w:p>
    <w:p w14:paraId="47F62FFC" w14:textId="631EA63C" w:rsidR="008D7A98" w:rsidRDefault="008D7A98">
      <w:r>
        <w:t xml:space="preserve">Topic 3: </w:t>
      </w:r>
      <w:r w:rsidRPr="008D7A98">
        <w:t>What is the difference between “yield to call” and “yield to maturity”?</w:t>
      </w:r>
    </w:p>
    <w:sectPr w:rsidR="008D7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A98"/>
    <w:rsid w:val="008D7A98"/>
    <w:rsid w:val="00B6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8007D"/>
  <w15:chartTrackingRefBased/>
  <w15:docId w15:val="{C2F62D61-C0D3-4C0E-B626-1D62D575E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O'Brien</dc:creator>
  <cp:keywords/>
  <dc:description/>
  <cp:lastModifiedBy>John O'Brien</cp:lastModifiedBy>
  <cp:revision>1</cp:revision>
  <dcterms:created xsi:type="dcterms:W3CDTF">2021-09-11T00:15:00Z</dcterms:created>
  <dcterms:modified xsi:type="dcterms:W3CDTF">2021-09-11T00:16:00Z</dcterms:modified>
</cp:coreProperties>
</file>